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4D" w:rsidRPr="00BB53BF" w:rsidRDefault="00A47CF7" w:rsidP="00BB53BF">
      <w:pPr>
        <w:pStyle w:val="LTAChapterHeading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  <w:r w:rsidR="00B4449A">
        <w:t>Wedmore Tennis Club (WTC)</w:t>
      </w:r>
    </w:p>
    <w:p w:rsidR="00C75D4D" w:rsidRPr="00ED2973" w:rsidRDefault="00B4449A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WTC</w:t>
      </w:r>
      <w:r w:rsidR="00C75D4D" w:rsidRPr="00ED2973">
        <w:rPr>
          <w:rFonts w:cs="Arial"/>
          <w:sz w:val="24"/>
        </w:rPr>
        <w:t xml:space="preserve"> </w:t>
      </w:r>
      <w:r w:rsidR="00C75D4D"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="00C75D4D"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="00B4449A">
        <w:rPr>
          <w:rFonts w:cs="Arial"/>
          <w:sz w:val="24"/>
          <w:lang w:val="en-US"/>
        </w:rPr>
        <w:t xml:space="preserve"> WTC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responsibility to help keep children safe online, whether or not they are using [</w:t>
      </w:r>
      <w:r w:rsidRPr="00ED2973">
        <w:rPr>
          <w:rFonts w:cs="Arial"/>
          <w:sz w:val="24"/>
        </w:rPr>
        <w:t>club/county</w:t>
      </w:r>
      <w:r w:rsidRPr="00ED2973">
        <w:rPr>
          <w:sz w:val="24"/>
        </w:rPr>
        <w:t>]’s network and devices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:rsidR="00BB53BF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:rsidR="00767443" w:rsidRPr="00ED2973" w:rsidRDefault="00767443" w:rsidP="00A17DA2">
      <w:pPr>
        <w:jc w:val="both"/>
        <w:rPr>
          <w:sz w:val="24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lastRenderedPageBreak/>
        <w:t>Our online presence through our website or social media platforms will adhere to the following guidelines: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Facebook pages/groups) used to communicate with children must be an organization, community or sports group and not personal 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communicate with parents through email or in writing, or use an organisational account, profile or website rather than via personal social media accounts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sign off any communication in a professional manner, avoiding the use of </w:t>
      </w:r>
      <w:proofErr w:type="spellStart"/>
      <w:r w:rsidRPr="00ED2973">
        <w:rPr>
          <w:sz w:val="24"/>
        </w:rPr>
        <w:t>emojis</w:t>
      </w:r>
      <w:proofErr w:type="spellEnd"/>
      <w:r w:rsidRPr="00ED2973">
        <w:rPr>
          <w:sz w:val="24"/>
        </w:rPr>
        <w:t xml:space="preserve"> or symbols such as kisses (“X’s”)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>they must not engage in sexting,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must not engage in sexting,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proofErr w:type="gramStart"/>
      <w:r w:rsidRPr="00ED2973">
        <w:rPr>
          <w:sz w:val="24"/>
        </w:rPr>
        <w:t>messages</w:t>
      </w:r>
      <w:proofErr w:type="gramEnd"/>
      <w:r w:rsidRPr="00ED2973">
        <w:rPr>
          <w:sz w:val="24"/>
        </w:rPr>
        <w:t xml:space="preserve"> will be used for professional communication, such as reminders about lesson times, meeting points etc.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advise parents that it may not be possible to contact children during activities and provide a contact within the club or organisation who will be reachable should there be an emergency</w:t>
      </w:r>
    </w:p>
    <w:p w:rsidR="00A2234F" w:rsidRPr="00ED2973" w:rsidRDefault="00A2234F" w:rsidP="00A17DA2">
      <w:pPr>
        <w:jc w:val="both"/>
        <w:rPr>
          <w:sz w:val="24"/>
        </w:rPr>
      </w:pPr>
    </w:p>
    <w:p w:rsidR="00A2234F" w:rsidRPr="00A2234F" w:rsidRDefault="00A2234F" w:rsidP="00A17DA2">
      <w:pPr>
        <w:jc w:val="both"/>
      </w:pP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should be r</w:t>
      </w:r>
      <w:r w:rsidR="00B4449A">
        <w:rPr>
          <w:rFonts w:cs="Arial"/>
          <w:sz w:val="24"/>
        </w:rPr>
        <w:t xml:space="preserve">ead alongside WTC </w:t>
      </w:r>
      <w:bookmarkStart w:id="0" w:name="_GoBack"/>
      <w:bookmarkEnd w:id="0"/>
      <w:r w:rsidRPr="00BB53BF">
        <w:rPr>
          <w:rFonts w:cs="Arial"/>
          <w:sz w:val="24"/>
        </w:rPr>
        <w:t xml:space="preserve">policies and procedures, including: </w:t>
      </w:r>
    </w:p>
    <w:p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Chairperson </w:t>
      </w:r>
      <w:r w:rsidR="00B4449A">
        <w:rPr>
          <w:rFonts w:cs="Arial"/>
          <w:i/>
          <w:sz w:val="24"/>
        </w:rPr>
        <w:t>Michael Gill</w:t>
      </w:r>
      <w:r w:rsidRPr="00BB53BF">
        <w:rPr>
          <w:rFonts w:cs="Arial"/>
          <w:sz w:val="24"/>
        </w:rPr>
        <w:t>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</w:t>
      </w:r>
      <w:r w:rsidR="00B4449A">
        <w:rPr>
          <w:rFonts w:ascii="Arial" w:hAnsi="Arial" w:cs="Arial"/>
          <w:bCs/>
        </w:rPr>
        <w:t>er Karen Larsen</w:t>
      </w:r>
      <w:r w:rsidRPr="00BB53BF">
        <w:rPr>
          <w:rFonts w:ascii="Arial" w:hAnsi="Arial" w:cs="Arial"/>
        </w:rPr>
        <w:t xml:space="preserve">: </w:t>
      </w:r>
      <w:r w:rsidRPr="00BB53BF">
        <w:rPr>
          <w:rFonts w:ascii="Arial" w:hAnsi="Arial" w:cs="Arial"/>
        </w:rPr>
        <w:tab/>
      </w:r>
      <w:r w:rsidR="00B4449A" w:rsidRPr="00B4449A">
        <w:rPr>
          <w:rFonts w:ascii="Arial" w:hAnsi="Arial" w:cs="Arial"/>
          <w:noProof/>
          <w:lang w:eastAsia="en-GB"/>
        </w:rPr>
        <w:drawing>
          <wp:inline distT="0" distB="0" distL="0" distR="0">
            <wp:extent cx="1892300" cy="573424"/>
            <wp:effectExtent l="0" t="0" r="0" b="0"/>
            <wp:docPr id="1" name="Picture 1" descr="\\xsompar.nhs.uk\chpersonal\WestMendip\karen.larsen\My Documents\My Pictures\Small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sompar.nhs.uk\chpersonal\WestMendip\karen.larsen\My Documents\My Pictures\Small signatur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09" cy="5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3BF">
        <w:rPr>
          <w:rFonts w:ascii="Arial" w:hAnsi="Arial" w:cs="Arial"/>
        </w:rPr>
        <w:tab/>
        <w:t>Date:</w:t>
      </w:r>
    </w:p>
    <w:sectPr w:rsidR="00537270" w:rsidRPr="00BB53BF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40" w:rsidRDefault="00D14C40">
      <w:r>
        <w:separator/>
      </w:r>
    </w:p>
  </w:endnote>
  <w:endnote w:type="continuationSeparator" w:id="0">
    <w:p w:rsidR="00D14C40" w:rsidRDefault="00D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9A" w:rsidRDefault="00B4449A">
    <w:pPr>
      <w:pStyle w:val="Footer"/>
    </w:pPr>
    <w:r>
      <w:t>November 2021/Review November 2023</w:t>
    </w:r>
  </w:p>
  <w:p w:rsidR="00867D2A" w:rsidRDefault="00867D2A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8CC8B7" wp14:editId="7AFD1AAD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40" w:rsidRDefault="00D14C40">
      <w:r>
        <w:separator/>
      </w:r>
    </w:p>
  </w:footnote>
  <w:footnote w:type="continuationSeparator" w:id="0">
    <w:p w:rsidR="00D14C40" w:rsidRDefault="00D1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9A" w:rsidRDefault="00B4449A">
    <w:pPr>
      <w:pStyle w:val="Header"/>
    </w:pPr>
    <w:r>
      <w:rPr>
        <w:noProof/>
        <w:lang w:eastAsia="en-GB"/>
      </w:rPr>
      <w:drawing>
        <wp:inline distT="0" distB="0" distL="0" distR="0" wp14:anchorId="555332AE" wp14:editId="771EA515">
          <wp:extent cx="1098550" cy="565150"/>
          <wp:effectExtent l="0" t="0" r="635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224C3A"/>
    <w:rsid w:val="002715B4"/>
    <w:rsid w:val="003A0D4D"/>
    <w:rsid w:val="003B352C"/>
    <w:rsid w:val="003E2EF3"/>
    <w:rsid w:val="003F34DD"/>
    <w:rsid w:val="004908E6"/>
    <w:rsid w:val="004E08B4"/>
    <w:rsid w:val="004E7971"/>
    <w:rsid w:val="00537270"/>
    <w:rsid w:val="00692C43"/>
    <w:rsid w:val="006A667C"/>
    <w:rsid w:val="006C3B4F"/>
    <w:rsid w:val="006E1A59"/>
    <w:rsid w:val="006F52E4"/>
    <w:rsid w:val="00721A88"/>
    <w:rsid w:val="007318C9"/>
    <w:rsid w:val="00767443"/>
    <w:rsid w:val="00790639"/>
    <w:rsid w:val="007D30CD"/>
    <w:rsid w:val="00812D4E"/>
    <w:rsid w:val="00867D2A"/>
    <w:rsid w:val="008C16B1"/>
    <w:rsid w:val="008C1811"/>
    <w:rsid w:val="009D7AA4"/>
    <w:rsid w:val="009E463A"/>
    <w:rsid w:val="00A17DA2"/>
    <w:rsid w:val="00A2234F"/>
    <w:rsid w:val="00A47CF7"/>
    <w:rsid w:val="00A542DA"/>
    <w:rsid w:val="00A71623"/>
    <w:rsid w:val="00AA7905"/>
    <w:rsid w:val="00AC13ED"/>
    <w:rsid w:val="00AF7910"/>
    <w:rsid w:val="00B4449A"/>
    <w:rsid w:val="00B650DE"/>
    <w:rsid w:val="00B82C2F"/>
    <w:rsid w:val="00B85D1C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5F4D2A"/>
  <w14:defaultImageDpi w14:val="300"/>
  <w15:docId w15:val="{B33E5C10-63B4-4428-A726-FD752F42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449A"/>
    <w:rPr>
      <w:rFonts w:ascii="Arial" w:eastAsiaTheme="minorEastAsia" w:hAnsi="Arial" w:cstheme="minorBidi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449A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Karen Larsen</cp:lastModifiedBy>
  <cp:revision>2</cp:revision>
  <cp:lastPrinted>2019-12-11T14:25:00Z</cp:lastPrinted>
  <dcterms:created xsi:type="dcterms:W3CDTF">2021-10-16T17:59:00Z</dcterms:created>
  <dcterms:modified xsi:type="dcterms:W3CDTF">2021-10-16T17:59:00Z</dcterms:modified>
</cp:coreProperties>
</file>